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F76C1A" w:rsidRPr="007E16CE" w:rsidRDefault="00617E55" w:rsidP="00617E55">
      <w:pPr>
        <w:jc w:val="center"/>
      </w:pPr>
      <w:r>
        <w:rPr>
          <w:rFonts w:cs="Times New Roman"/>
          <w:b/>
          <w:i/>
          <w:sz w:val="24"/>
          <w:lang w:eastAsia="x-none"/>
        </w:rPr>
        <w:t>Issues Affecting Communication</w:t>
      </w:r>
    </w:p>
    <w:p w:rsidR="00F76C1A" w:rsidRPr="00DE1896" w:rsidRDefault="00F76C1A" w:rsidP="001B46D6"/>
    <w:p w:rsidR="00DE1896" w:rsidRDefault="003E5D85" w:rsidP="00063319">
      <w:r>
        <w:t xml:space="preserve">Complete the matrix </w:t>
      </w:r>
      <w:r w:rsidR="00203C2A">
        <w:t>with at least</w:t>
      </w:r>
      <w:r w:rsidR="00853092">
        <w:t xml:space="preserve"> </w:t>
      </w:r>
      <w:r w:rsidR="00617E55">
        <w:t xml:space="preserve">twenty communication issues.  In the first column, identify the communication concept. You may select from the many concepts discussed in </w:t>
      </w:r>
      <w:r w:rsidR="006715C5">
        <w:t>the assigned readings</w:t>
      </w:r>
      <w:bookmarkStart w:id="0" w:name="_GoBack"/>
      <w:bookmarkEnd w:id="0"/>
      <w:r w:rsidR="00617E55">
        <w:t xml:space="preserve">.  For example, “upward communication,” “filtering,” “noise in the communication process,” “message decoding,” “email,” “social media,” etc. </w:t>
      </w:r>
    </w:p>
    <w:p w:rsidR="00617E55" w:rsidRDefault="00617E55" w:rsidP="00063319"/>
    <w:p w:rsidR="00617E55" w:rsidRDefault="00617E55" w:rsidP="00063319">
      <w:r>
        <w:t xml:space="preserve">In the second column, create a brief scenario that illustrates ineffective communication regarding that concept. </w:t>
      </w:r>
    </w:p>
    <w:p w:rsidR="00617E55" w:rsidRDefault="00617E55" w:rsidP="00063319"/>
    <w:p w:rsidR="00617E55" w:rsidRDefault="00617E55" w:rsidP="00063319">
      <w:r>
        <w:t>In the third column, give a remedy that could have prevented the ineffective communication or could correct it. This should reflect a “best practice</w:t>
      </w:r>
      <w:r w:rsidR="00F41044">
        <w:t>,</w:t>
      </w:r>
      <w:r>
        <w:t xml:space="preserve">” </w:t>
      </w:r>
      <w:r w:rsidR="00F41044" w:rsidRPr="00F41044">
        <w:t>a technique</w:t>
      </w:r>
      <w:r w:rsidR="00F41044">
        <w:t xml:space="preserve"> or strategy accepted in a profession as </w:t>
      </w:r>
      <w:r w:rsidR="00F41044" w:rsidRPr="00F41044">
        <w:t xml:space="preserve">superior to alternatives because it produces </w:t>
      </w:r>
      <w:r w:rsidR="00F41044">
        <w:t xml:space="preserve">better </w:t>
      </w:r>
      <w:r w:rsidR="00F41044" w:rsidRPr="00F41044">
        <w:t>results</w:t>
      </w:r>
      <w:r w:rsidR="00F41044">
        <w:t>.  Cite your source supporting this solution in this column and add your references in APA format below the list.</w:t>
      </w:r>
    </w:p>
    <w:p w:rsidR="00F41044" w:rsidRDefault="00F41044" w:rsidP="00063319"/>
    <w:p w:rsidR="00F41044" w:rsidRDefault="00F41044" w:rsidP="00063319">
      <w:r>
        <w:t xml:space="preserve">Your completed assignment should be between </w:t>
      </w:r>
      <w:r w:rsidR="003D483E">
        <w:t>7</w:t>
      </w:r>
      <w:r>
        <w:t xml:space="preserve">00 and </w:t>
      </w:r>
      <w:r w:rsidR="00CE0CD2">
        <w:t>1,0</w:t>
      </w:r>
      <w:r w:rsidR="003D483E">
        <w:t>5</w:t>
      </w:r>
      <w:r>
        <w:t>0 words.</w:t>
      </w:r>
    </w:p>
    <w:p w:rsidR="000C1699" w:rsidRPr="000C1699" w:rsidRDefault="000C1699" w:rsidP="001B46D6"/>
    <w:tbl>
      <w:tblPr>
        <w:tblW w:w="4940" w:type="pct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2767"/>
        <w:gridCol w:w="3381"/>
        <w:gridCol w:w="2617"/>
      </w:tblGrid>
      <w:tr w:rsidR="00617E55" w:rsidTr="00617E55">
        <w:tc>
          <w:tcPr>
            <w:tcW w:w="250" w:type="pct"/>
            <w:shd w:val="clear" w:color="auto" w:fill="BFBFBF"/>
          </w:tcPr>
          <w:p w:rsidR="00617E55" w:rsidRDefault="00617E55" w:rsidP="00617E55">
            <w:pPr>
              <w:jc w:val="center"/>
            </w:pPr>
            <w:bookmarkStart w:id="1" w:name="ColumnTitle"/>
            <w:bookmarkEnd w:id="1"/>
          </w:p>
        </w:tc>
        <w:tc>
          <w:tcPr>
            <w:tcW w:w="1500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617E55">
            <w:pPr>
              <w:jc w:val="center"/>
            </w:pPr>
            <w:r>
              <w:t>Communication Concept</w:t>
            </w:r>
          </w:p>
        </w:tc>
        <w:tc>
          <w:tcPr>
            <w:tcW w:w="1832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617E55">
            <w:pPr>
              <w:jc w:val="center"/>
            </w:pPr>
            <w:r>
              <w:t>Scenario Illustrating Ineffective Communication</w:t>
            </w:r>
          </w:p>
        </w:tc>
        <w:tc>
          <w:tcPr>
            <w:tcW w:w="1418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617E55">
            <w:pPr>
              <w:jc w:val="center"/>
            </w:pPr>
            <w:r>
              <w:t>Solution for Effective Communication</w:t>
            </w:r>
          </w:p>
          <w:p w:rsidR="00617E55" w:rsidRDefault="00617E55" w:rsidP="00203C2A"/>
        </w:tc>
      </w:tr>
      <w:tr w:rsidR="00617E55" w:rsidTr="00617E55">
        <w:trPr>
          <w:cantSplit/>
          <w:trHeight w:val="1134"/>
        </w:trPr>
        <w:tc>
          <w:tcPr>
            <w:tcW w:w="250" w:type="pct"/>
            <w:shd w:val="clear" w:color="auto" w:fill="FFFFFF"/>
            <w:textDirection w:val="tbRl"/>
          </w:tcPr>
          <w:p w:rsidR="00617E55" w:rsidRDefault="00617E55" w:rsidP="00617E55">
            <w:pPr>
              <w:ind w:left="113" w:right="113"/>
            </w:pPr>
            <w:r>
              <w:t>sample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F16E85">
            <w:r>
              <w:t xml:space="preserve"> Downward communication</w:t>
            </w:r>
          </w:p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D364F3" w:rsidP="00A77349">
            <w:r>
              <w:t xml:space="preserve">In a meeting with some but not all employees, the chief orally announced </w:t>
            </w:r>
            <w:r w:rsidR="00CA7897">
              <w:t xml:space="preserve">immediate changes </w:t>
            </w:r>
            <w:r>
              <w:t xml:space="preserve">in procedures. The presentation </w:t>
            </w:r>
            <w:r w:rsidR="00CA7897">
              <w:t>was confusing and</w:t>
            </w:r>
            <w:r w:rsidR="00617E55">
              <w:t xml:space="preserve"> left more questions than answers and </w:t>
            </w:r>
            <w:r>
              <w:t>employees not in attendance did not receive the information.</w:t>
            </w:r>
          </w:p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50514C" w:rsidP="0050514C">
            <w:r w:rsidRPr="0050514C">
              <w:t>Best practice: “</w:t>
            </w:r>
            <w:r w:rsidRPr="0050514C">
              <w:rPr>
                <w:iCs/>
                <w:bdr w:val="none" w:sz="0" w:space="0" w:color="auto" w:frame="1"/>
                <w:shd w:val="clear" w:color="auto" w:fill="FFFFFF"/>
              </w:rPr>
              <w:t>Written communication</w:t>
            </w:r>
            <w:r w:rsidRPr="0050514C">
              <w:rPr>
                <w:rStyle w:val="apple-converted-space"/>
                <w:shd w:val="clear" w:color="auto" w:fill="FFFFFF"/>
              </w:rPr>
              <w:t> </w:t>
            </w:r>
            <w:r w:rsidRPr="0050514C">
              <w:rPr>
                <w:shd w:val="clear" w:color="auto" w:fill="FFFFFF"/>
              </w:rPr>
              <w:t xml:space="preserve">is generally the most reliable mode for complex communication” </w:t>
            </w:r>
            <w:r w:rsidRPr="0050514C">
              <w:t xml:space="preserve">(Robbins &amp; Judge, 2017). </w:t>
            </w:r>
            <w:r w:rsidR="00D364F3" w:rsidRPr="0050514C">
              <w:t xml:space="preserve">A </w:t>
            </w:r>
            <w:r w:rsidR="00CA7897" w:rsidRPr="0050514C">
              <w:t>detailed addition to the operating procedure manual</w:t>
            </w:r>
            <w:r w:rsidR="00F41044" w:rsidRPr="0050514C">
              <w:t xml:space="preserve"> </w:t>
            </w:r>
            <w:r w:rsidR="00D364F3" w:rsidRPr="0050514C">
              <w:t xml:space="preserve">was prepared </w:t>
            </w:r>
            <w:r w:rsidR="00CA7897" w:rsidRPr="0050514C">
              <w:t>before th</w:t>
            </w:r>
            <w:r w:rsidR="00A77349" w:rsidRPr="0050514C">
              <w:t xml:space="preserve">e </w:t>
            </w:r>
            <w:r w:rsidR="00A77349">
              <w:t xml:space="preserve">changes took effect. </w:t>
            </w:r>
            <w:r w:rsidR="00D364F3">
              <w:t>The chief provided training to supervisors to pre</w:t>
            </w:r>
            <w:r w:rsidR="00A77349">
              <w:t>pare them for fielding questions and ensuring adherence to the policy</w:t>
            </w:r>
            <w:r w:rsidR="00D364F3">
              <w:t xml:space="preserve"> </w:t>
            </w:r>
          </w:p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F16E85">
            <w:r>
              <w:t>1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F16E85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Pr="0003631C" w:rsidRDefault="00617E55" w:rsidP="00617E55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Pr="0003631C" w:rsidRDefault="00617E55" w:rsidP="003E5D85">
            <w:pPr>
              <w:widowControl/>
              <w:ind w:left="360"/>
              <w:rPr>
                <w:color w:val="000000"/>
              </w:rPr>
            </w:pPr>
          </w:p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Pr="0003631C" w:rsidRDefault="00617E55" w:rsidP="001B46D6">
            <w:pPr>
              <w:rPr>
                <w:color w:val="000000"/>
              </w:rPr>
            </w:pPr>
          </w:p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Pr="0003631C" w:rsidRDefault="00617E55" w:rsidP="001B46D6">
            <w:pPr>
              <w:rPr>
                <w:color w:val="000000"/>
              </w:rPr>
            </w:pPr>
          </w:p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Pr="0003631C" w:rsidRDefault="00617E55" w:rsidP="00617E55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Pr="0003631C" w:rsidRDefault="00617E55" w:rsidP="003E5D85">
            <w:pPr>
              <w:widowControl/>
              <w:ind w:left="360"/>
              <w:rPr>
                <w:color w:val="000000"/>
              </w:rPr>
            </w:pPr>
          </w:p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Pr="0003631C" w:rsidRDefault="00617E55" w:rsidP="001B46D6">
            <w:pPr>
              <w:rPr>
                <w:color w:val="000000"/>
              </w:rPr>
            </w:pPr>
          </w:p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Pr="0003631C" w:rsidRDefault="00617E55" w:rsidP="001B46D6">
            <w:pPr>
              <w:rPr>
                <w:color w:val="000000"/>
              </w:rPr>
            </w:pPr>
          </w:p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Pr="0003631C" w:rsidRDefault="00617E55" w:rsidP="00617E55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Pr="0003631C" w:rsidRDefault="00617E55" w:rsidP="003E5D85">
            <w:pPr>
              <w:widowControl/>
              <w:ind w:left="360"/>
              <w:rPr>
                <w:color w:val="000000"/>
              </w:rPr>
            </w:pPr>
          </w:p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Pr="0003631C" w:rsidRDefault="00617E55" w:rsidP="001B46D6">
            <w:pPr>
              <w:rPr>
                <w:color w:val="000000"/>
              </w:rPr>
            </w:pPr>
          </w:p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Pr="0003631C" w:rsidRDefault="00617E55" w:rsidP="001B46D6">
            <w:pPr>
              <w:rPr>
                <w:color w:val="000000"/>
              </w:rPr>
            </w:pPr>
          </w:p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5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6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7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8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9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lastRenderedPageBreak/>
              <w:t>10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11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12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13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14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15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16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17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18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19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  <w:tr w:rsidR="00617E55" w:rsidTr="00617E55">
        <w:tc>
          <w:tcPr>
            <w:tcW w:w="250" w:type="pct"/>
            <w:shd w:val="clear" w:color="auto" w:fill="FFFFFF"/>
          </w:tcPr>
          <w:p w:rsidR="00617E55" w:rsidRDefault="00617E55" w:rsidP="001B46D6">
            <w:r>
              <w:t>20</w:t>
            </w:r>
          </w:p>
        </w:tc>
        <w:tc>
          <w:tcPr>
            <w:tcW w:w="150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832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  <w:tc>
          <w:tcPr>
            <w:tcW w:w="14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17E55" w:rsidRDefault="00617E55" w:rsidP="001B46D6"/>
        </w:tc>
      </w:tr>
    </w:tbl>
    <w:p w:rsidR="00B75EB5" w:rsidRDefault="00B75EB5" w:rsidP="00A82DDB"/>
    <w:p w:rsidR="00363F6C" w:rsidRDefault="00363F6C" w:rsidP="00363F6C">
      <w:pPr>
        <w:jc w:val="center"/>
      </w:pPr>
    </w:p>
    <w:p w:rsidR="00363F6C" w:rsidRDefault="00363F6C" w:rsidP="00363F6C">
      <w:pPr>
        <w:jc w:val="center"/>
      </w:pPr>
      <w:r>
        <w:t>References</w:t>
      </w:r>
    </w:p>
    <w:sectPr w:rsidR="00363F6C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12" w:rsidRDefault="00E25C12" w:rsidP="001B46D6">
      <w:r>
        <w:separator/>
      </w:r>
    </w:p>
    <w:p w:rsidR="00E25C12" w:rsidRDefault="00E25C12" w:rsidP="001B46D6"/>
    <w:p w:rsidR="00E25C12" w:rsidRDefault="00E25C12" w:rsidP="001B46D6"/>
  </w:endnote>
  <w:endnote w:type="continuationSeparator" w:id="0">
    <w:p w:rsidR="00E25C12" w:rsidRDefault="00E25C12" w:rsidP="001B46D6">
      <w:r>
        <w:continuationSeparator/>
      </w:r>
    </w:p>
    <w:p w:rsidR="00E25C12" w:rsidRDefault="00E25C12" w:rsidP="001B46D6"/>
    <w:p w:rsidR="00E25C12" w:rsidRDefault="00E25C12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AE" w:rsidRPr="00AF0611" w:rsidRDefault="00923EAE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Pr="003E5D85">
      <w:rPr>
        <w:sz w:val="16"/>
        <w:lang w:val="en-US"/>
      </w:rPr>
      <w:t>201</w:t>
    </w:r>
    <w:r w:rsidR="006E2C74">
      <w:rPr>
        <w:sz w:val="16"/>
        <w:lang w:val="en-US"/>
      </w:rPr>
      <w:t>7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AE" w:rsidRDefault="00923EAE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12" w:rsidRDefault="00E25C12" w:rsidP="001B46D6">
      <w:r>
        <w:separator/>
      </w:r>
    </w:p>
    <w:p w:rsidR="00E25C12" w:rsidRDefault="00E25C12" w:rsidP="001B46D6"/>
    <w:p w:rsidR="00E25C12" w:rsidRDefault="00E25C12" w:rsidP="001B46D6"/>
  </w:footnote>
  <w:footnote w:type="continuationSeparator" w:id="0">
    <w:p w:rsidR="00E25C12" w:rsidRDefault="00E25C12" w:rsidP="001B46D6">
      <w:r>
        <w:continuationSeparator/>
      </w:r>
    </w:p>
    <w:p w:rsidR="00E25C12" w:rsidRDefault="00E25C12" w:rsidP="001B46D6"/>
    <w:p w:rsidR="00E25C12" w:rsidRDefault="00E25C12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923EAE" w:rsidTr="007C1B28">
      <w:tc>
        <w:tcPr>
          <w:tcW w:w="2172" w:type="pct"/>
        </w:tcPr>
        <w:p w:rsidR="00923EAE" w:rsidRDefault="00923EAE" w:rsidP="003A6680"/>
      </w:tc>
      <w:tc>
        <w:tcPr>
          <w:tcW w:w="2204" w:type="pct"/>
          <w:tcBorders>
            <w:right w:val="single" w:sz="6" w:space="0" w:color="000000"/>
          </w:tcBorders>
        </w:tcPr>
        <w:p w:rsidR="00617E55" w:rsidRDefault="00617E55" w:rsidP="00617E55">
          <w:pPr>
            <w:jc w:val="right"/>
          </w:pPr>
          <w:r>
            <w:t xml:space="preserve">Issues Affecting Communication </w:t>
          </w:r>
        </w:p>
        <w:p w:rsidR="00923EAE" w:rsidRPr="001E7815" w:rsidRDefault="00923EAE" w:rsidP="00617E55">
          <w:pPr>
            <w:jc w:val="right"/>
            <w:rPr>
              <w:b/>
            </w:rPr>
          </w:pPr>
          <w:r>
            <w:rPr>
              <w:b/>
            </w:rPr>
            <w:t xml:space="preserve">CJA/444 Version </w:t>
          </w:r>
          <w:r w:rsidR="00617E55">
            <w:rPr>
              <w:b/>
            </w:rPr>
            <w:t>8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923EAE" w:rsidRPr="00DF25F2" w:rsidRDefault="00923EAE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715C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23EAE" w:rsidRDefault="00923EAE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923EAE" w:rsidTr="00D0344B">
      <w:tc>
        <w:tcPr>
          <w:tcW w:w="2172" w:type="pct"/>
        </w:tcPr>
        <w:p w:rsidR="00923EAE" w:rsidRDefault="00923EAE" w:rsidP="00D0344B"/>
      </w:tc>
      <w:tc>
        <w:tcPr>
          <w:tcW w:w="2246" w:type="pct"/>
          <w:tcBorders>
            <w:right w:val="single" w:sz="6" w:space="0" w:color="000000"/>
          </w:tcBorders>
        </w:tcPr>
        <w:p w:rsidR="00923EAE" w:rsidRPr="00D51FE4" w:rsidRDefault="00923EAE" w:rsidP="00D0344B">
          <w:pPr>
            <w:jc w:val="right"/>
          </w:pPr>
          <w:r>
            <w:t>Title</w:t>
          </w:r>
        </w:p>
        <w:p w:rsidR="00923EAE" w:rsidRPr="001E7815" w:rsidRDefault="00923EAE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923EAE" w:rsidRPr="00DF25F2" w:rsidRDefault="00923EAE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23EAE" w:rsidRDefault="00923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0E63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1A59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2A"/>
    <w:rsid w:val="00203CCD"/>
    <w:rsid w:val="0020548D"/>
    <w:rsid w:val="00206CF4"/>
    <w:rsid w:val="0021285A"/>
    <w:rsid w:val="00217654"/>
    <w:rsid w:val="0022041B"/>
    <w:rsid w:val="00223559"/>
    <w:rsid w:val="00224A60"/>
    <w:rsid w:val="00225662"/>
    <w:rsid w:val="0022594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54B24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63F6C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0B1D"/>
    <w:rsid w:val="003C2F09"/>
    <w:rsid w:val="003C53FC"/>
    <w:rsid w:val="003C6F92"/>
    <w:rsid w:val="003D1B21"/>
    <w:rsid w:val="003D483E"/>
    <w:rsid w:val="003D4D14"/>
    <w:rsid w:val="003D62C1"/>
    <w:rsid w:val="003D644E"/>
    <w:rsid w:val="003E22E6"/>
    <w:rsid w:val="003E31A7"/>
    <w:rsid w:val="003E5C7D"/>
    <w:rsid w:val="003E5D85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91E"/>
    <w:rsid w:val="00486E51"/>
    <w:rsid w:val="0049010A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514C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E59C6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17E55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2CDC"/>
    <w:rsid w:val="00666F5F"/>
    <w:rsid w:val="006715C5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5CA7"/>
    <w:rsid w:val="006B7AF1"/>
    <w:rsid w:val="006B7CFB"/>
    <w:rsid w:val="006C16E1"/>
    <w:rsid w:val="006D68FF"/>
    <w:rsid w:val="006E2C74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1907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3092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875EB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23EAE"/>
    <w:rsid w:val="00925625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A2D57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053A4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66B37"/>
    <w:rsid w:val="00A70297"/>
    <w:rsid w:val="00A7218C"/>
    <w:rsid w:val="00A73C2D"/>
    <w:rsid w:val="00A750A8"/>
    <w:rsid w:val="00A75BF7"/>
    <w:rsid w:val="00A75C65"/>
    <w:rsid w:val="00A77349"/>
    <w:rsid w:val="00A80287"/>
    <w:rsid w:val="00A804E9"/>
    <w:rsid w:val="00A82DDB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64FD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513E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953F0"/>
    <w:rsid w:val="00CA7897"/>
    <w:rsid w:val="00CB2328"/>
    <w:rsid w:val="00CC322F"/>
    <w:rsid w:val="00CC63E5"/>
    <w:rsid w:val="00CD392F"/>
    <w:rsid w:val="00CD4139"/>
    <w:rsid w:val="00CD6537"/>
    <w:rsid w:val="00CD6B32"/>
    <w:rsid w:val="00CD6C5E"/>
    <w:rsid w:val="00CE0CD2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64F3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25C12"/>
    <w:rsid w:val="00E30223"/>
    <w:rsid w:val="00E32ACA"/>
    <w:rsid w:val="00E34279"/>
    <w:rsid w:val="00E35AF7"/>
    <w:rsid w:val="00E45E95"/>
    <w:rsid w:val="00E45F2B"/>
    <w:rsid w:val="00E46397"/>
    <w:rsid w:val="00E463D8"/>
    <w:rsid w:val="00E46FA0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0DF3"/>
    <w:rsid w:val="00EF2FE9"/>
    <w:rsid w:val="00EF417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0CC4"/>
    <w:rsid w:val="00F41044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0988"/>
    <w:rsid w:val="00F91696"/>
    <w:rsid w:val="00F96FF0"/>
    <w:rsid w:val="00FA0491"/>
    <w:rsid w:val="00FA1212"/>
    <w:rsid w:val="00FA4D10"/>
    <w:rsid w:val="00FA4F68"/>
    <w:rsid w:val="00FB7D74"/>
    <w:rsid w:val="00FC32CF"/>
    <w:rsid w:val="00FC34CA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5FA7BD2-CAFB-4A18-A1AB-FA00804F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50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38D0E9EC4C48B659428C5C53340A" ma:contentTypeVersion="0" ma:contentTypeDescription="Create a new document." ma:contentTypeScope="" ma:versionID="05fb12c4cd7f3f8e7d6776edc4700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73143-50A9-4CA3-8C45-64286BB690A7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C2635-26FA-4545-B8DF-509DEA26E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dc:description/>
  <cp:lastModifiedBy>Christopher Whetstine</cp:lastModifiedBy>
  <cp:revision>4</cp:revision>
  <cp:lastPrinted>2017-05-07T21:13:00Z</cp:lastPrinted>
  <dcterms:created xsi:type="dcterms:W3CDTF">2017-05-31T20:39:00Z</dcterms:created>
  <dcterms:modified xsi:type="dcterms:W3CDTF">2017-06-09T15:57:00Z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21504</vt:lpwstr>
  </property>
  <property fmtid="{D5CDD505-2E9C-101B-9397-08002B2CF9AE}" pid="18" name="Document Order">
    <vt:lpwstr/>
  </property>
</Properties>
</file>